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5D45D" w14:textId="26E1B0BA" w:rsidR="00C468E8" w:rsidRPr="00830BA0" w:rsidRDefault="00680491" w:rsidP="00830BA0">
      <w:pPr>
        <w:pStyle w:val="Nagwek1"/>
        <w:rPr>
          <w:rFonts w:ascii="Open Sans" w:hAnsi="Open Sans" w:cs="Open Sans"/>
          <w:color w:val="000000" w:themeColor="text1"/>
          <w:sz w:val="22"/>
          <w:szCs w:val="22"/>
        </w:rPr>
      </w:pPr>
      <w:r w:rsidRPr="00830BA0">
        <w:rPr>
          <w:rFonts w:ascii="Open Sans" w:hAnsi="Open Sans" w:cs="Open Sans"/>
          <w:color w:val="000000" w:themeColor="text1"/>
          <w:sz w:val="22"/>
          <w:szCs w:val="22"/>
        </w:rPr>
        <w:t xml:space="preserve">Załącznik nr </w:t>
      </w:r>
      <w:r w:rsidR="00613154" w:rsidRPr="00830BA0">
        <w:rPr>
          <w:rFonts w:ascii="Open Sans" w:hAnsi="Open Sans" w:cs="Open Sans"/>
          <w:color w:val="000000" w:themeColor="text1"/>
          <w:sz w:val="22"/>
          <w:szCs w:val="22"/>
        </w:rPr>
        <w:t>5</w:t>
      </w:r>
      <w:r w:rsidR="007874E3" w:rsidRPr="00830BA0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52160E" w:rsidRPr="00830BA0">
        <w:rPr>
          <w:rFonts w:ascii="Open Sans" w:hAnsi="Open Sans" w:cs="Open Sans"/>
          <w:color w:val="000000" w:themeColor="text1"/>
          <w:sz w:val="22"/>
          <w:szCs w:val="22"/>
        </w:rPr>
        <w:t>do Regulaminu</w:t>
      </w:r>
      <w:r w:rsidR="009C6990" w:rsidRPr="00830BA0">
        <w:rPr>
          <w:rFonts w:ascii="Open Sans" w:hAnsi="Open Sans" w:cs="Open Sans"/>
          <w:color w:val="000000" w:themeColor="text1"/>
          <w:sz w:val="22"/>
          <w:szCs w:val="22"/>
        </w:rPr>
        <w:t xml:space="preserve"> wyboru projektów</w:t>
      </w:r>
    </w:p>
    <w:p w14:paraId="31DD7676" w14:textId="77777777" w:rsidR="00DA0BDF" w:rsidRPr="00830BA0" w:rsidRDefault="00F94850" w:rsidP="00830BA0">
      <w:pPr>
        <w:pStyle w:val="Akapitzlist"/>
        <w:spacing w:before="600" w:after="240" w:line="360" w:lineRule="auto"/>
        <w:ind w:left="0"/>
        <w:contextualSpacing w:val="0"/>
        <w:rPr>
          <w:rFonts w:ascii="Open Sans" w:hAnsi="Open Sans" w:cs="Open Sans"/>
          <w:b/>
          <w:sz w:val="22"/>
          <w:szCs w:val="22"/>
        </w:rPr>
      </w:pPr>
      <w:r w:rsidRPr="00830BA0">
        <w:rPr>
          <w:rFonts w:ascii="Open Sans" w:hAnsi="Open Sans" w:cs="Open Sans"/>
          <w:b/>
          <w:sz w:val="22"/>
          <w:szCs w:val="22"/>
        </w:rPr>
        <w:t>K</w:t>
      </w:r>
      <w:r w:rsidR="00E67FE4" w:rsidRPr="00830BA0">
        <w:rPr>
          <w:rFonts w:ascii="Open Sans" w:hAnsi="Open Sans" w:cs="Open Sans"/>
          <w:b/>
          <w:sz w:val="22"/>
          <w:szCs w:val="22"/>
        </w:rPr>
        <w:t>atalog wydatków kwalifikowalnych</w:t>
      </w:r>
    </w:p>
    <w:p w14:paraId="016A426D" w14:textId="264FEE25" w:rsidR="00077F61" w:rsidRPr="00830BA0" w:rsidRDefault="00190827" w:rsidP="00830BA0">
      <w:pPr>
        <w:pStyle w:val="Akapitzlist"/>
        <w:numPr>
          <w:ilvl w:val="0"/>
          <w:numId w:val="1"/>
        </w:numPr>
        <w:spacing w:line="276" w:lineRule="auto"/>
        <w:ind w:left="0"/>
        <w:rPr>
          <w:rFonts w:ascii="Open Sans" w:hAnsi="Open Sans" w:cs="Open Sans"/>
          <w:b/>
          <w:sz w:val="22"/>
          <w:szCs w:val="22"/>
        </w:rPr>
      </w:pPr>
      <w:r w:rsidRPr="00830BA0">
        <w:rPr>
          <w:rFonts w:ascii="Open Sans" w:hAnsi="Open Sans" w:cs="Open Sans"/>
          <w:bCs/>
          <w:sz w:val="22"/>
          <w:szCs w:val="22"/>
        </w:rPr>
        <w:t>Wydatki muszą spełniać wymogi określone w</w:t>
      </w:r>
      <w:r w:rsidR="000D0DDE" w:rsidRPr="00830BA0">
        <w:rPr>
          <w:rFonts w:ascii="Open Sans" w:hAnsi="Open Sans" w:cs="Open Sans"/>
          <w:bCs/>
          <w:sz w:val="22"/>
          <w:szCs w:val="22"/>
        </w:rPr>
        <w:t xml:space="preserve"> </w:t>
      </w:r>
      <w:r w:rsidRPr="00830BA0">
        <w:rPr>
          <w:rFonts w:ascii="Open Sans" w:hAnsi="Open Sans" w:cs="Open Sans"/>
          <w:b/>
          <w:sz w:val="22"/>
          <w:szCs w:val="22"/>
        </w:rPr>
        <w:t> </w:t>
      </w:r>
      <w:hyperlink r:id="rId8" w:history="1">
        <w:r w:rsidRPr="00830BA0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wydatków na lata 2021-2027</w:t>
        </w:r>
        <w:r w:rsidRPr="00830BA0">
          <w:rPr>
            <w:rStyle w:val="Hipercze"/>
            <w:rFonts w:ascii="Open Sans" w:hAnsi="Open Sans" w:cs="Open Sans"/>
            <w:b/>
            <w:sz w:val="22"/>
            <w:szCs w:val="22"/>
          </w:rPr>
          <w:t>.</w:t>
        </w:r>
      </w:hyperlink>
    </w:p>
    <w:p w14:paraId="5B7BEC63" w14:textId="01498652" w:rsidR="00CD7BEE" w:rsidRPr="00830BA0" w:rsidRDefault="00190827" w:rsidP="00830BA0">
      <w:pPr>
        <w:autoSpaceDE w:val="0"/>
        <w:autoSpaceDN w:val="0"/>
        <w:adjustRightInd w:val="0"/>
        <w:spacing w:line="276" w:lineRule="auto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eastAsiaTheme="minorHAnsi" w:hAnsi="Open Sans" w:cs="Open Sans"/>
          <w:sz w:val="22"/>
          <w:szCs w:val="22"/>
          <w:lang w:eastAsia="en-US"/>
        </w:rPr>
        <w:t xml:space="preserve">Za kwalifikowalne mogą zostać uznane wydatki poniesione </w:t>
      </w:r>
      <w:r w:rsidR="000A73E0" w:rsidRPr="00830BA0">
        <w:rPr>
          <w:rFonts w:ascii="Open Sans" w:eastAsiaTheme="minorHAnsi" w:hAnsi="Open Sans" w:cs="Open Sans"/>
          <w:sz w:val="22"/>
          <w:szCs w:val="22"/>
          <w:lang w:eastAsia="en-US"/>
        </w:rPr>
        <w:t>na realizację p</w:t>
      </w:r>
      <w:r w:rsidR="000A73E0" w:rsidRPr="00830BA0">
        <w:rPr>
          <w:rFonts w:ascii="Open Sans" w:hAnsi="Open Sans" w:cs="Open Sans"/>
          <w:sz w:val="22"/>
          <w:szCs w:val="22"/>
        </w:rPr>
        <w:t xml:space="preserve">rojektów </w:t>
      </w:r>
      <w:r w:rsidR="00303253" w:rsidRPr="00830BA0">
        <w:rPr>
          <w:rFonts w:ascii="Open Sans" w:hAnsi="Open Sans" w:cs="Open Sans"/>
          <w:sz w:val="22"/>
          <w:szCs w:val="22"/>
        </w:rPr>
        <w:t xml:space="preserve">dotyczących </w:t>
      </w:r>
      <w:r w:rsidR="00CD7BEE" w:rsidRPr="00830BA0">
        <w:rPr>
          <w:rFonts w:ascii="Open Sans" w:hAnsi="Open Sans" w:cs="Open Sans"/>
          <w:sz w:val="22"/>
          <w:szCs w:val="22"/>
        </w:rPr>
        <w:t>edukac</w:t>
      </w:r>
      <w:r w:rsidR="00BD20DB" w:rsidRPr="00830BA0">
        <w:rPr>
          <w:rFonts w:ascii="Open Sans" w:hAnsi="Open Sans" w:cs="Open Sans"/>
          <w:sz w:val="22"/>
          <w:szCs w:val="22"/>
        </w:rPr>
        <w:t xml:space="preserve">ji </w:t>
      </w:r>
      <w:r w:rsidR="00AF16F9">
        <w:rPr>
          <w:rFonts w:ascii="Open Sans" w:hAnsi="Open Sans" w:cs="Open Sans"/>
          <w:sz w:val="22"/>
          <w:szCs w:val="22"/>
        </w:rPr>
        <w:t>klimaty</w:t>
      </w:r>
      <w:r w:rsidR="006A4AE1" w:rsidRPr="00830BA0">
        <w:rPr>
          <w:rFonts w:ascii="Open Sans" w:hAnsi="Open Sans" w:cs="Open Sans"/>
          <w:sz w:val="22"/>
          <w:szCs w:val="22"/>
        </w:rPr>
        <w:t>cz</w:t>
      </w:r>
      <w:r w:rsidR="00AF16F9">
        <w:rPr>
          <w:rFonts w:ascii="Open Sans" w:hAnsi="Open Sans" w:cs="Open Sans"/>
          <w:sz w:val="22"/>
          <w:szCs w:val="22"/>
        </w:rPr>
        <w:t>n</w:t>
      </w:r>
      <w:r w:rsidR="006A4AE1" w:rsidRPr="00830BA0">
        <w:rPr>
          <w:rFonts w:ascii="Open Sans" w:hAnsi="Open Sans" w:cs="Open Sans"/>
          <w:sz w:val="22"/>
          <w:szCs w:val="22"/>
        </w:rPr>
        <w:t>ej</w:t>
      </w:r>
      <w:r w:rsidR="00CD7BEE" w:rsidRPr="00830BA0">
        <w:rPr>
          <w:rFonts w:ascii="Open Sans" w:hAnsi="Open Sans" w:cs="Open Sans"/>
          <w:sz w:val="22"/>
          <w:szCs w:val="22"/>
        </w:rPr>
        <w:t xml:space="preserve">, które są </w:t>
      </w:r>
      <w:r w:rsidR="00BC2AA6" w:rsidRPr="00830BA0">
        <w:rPr>
          <w:rFonts w:ascii="Open Sans" w:hAnsi="Open Sans" w:cs="Open Sans"/>
          <w:sz w:val="22"/>
          <w:szCs w:val="22"/>
        </w:rPr>
        <w:t>w szczególności</w:t>
      </w:r>
      <w:r w:rsidR="00CD7BEE" w:rsidRPr="00830BA0">
        <w:rPr>
          <w:rFonts w:ascii="Open Sans" w:hAnsi="Open Sans" w:cs="Open Sans"/>
          <w:sz w:val="22"/>
          <w:szCs w:val="22"/>
        </w:rPr>
        <w:t>:</w:t>
      </w:r>
    </w:p>
    <w:p w14:paraId="10D35616" w14:textId="5CA3B98E" w:rsidR="00B563E6" w:rsidRPr="00830BA0" w:rsidRDefault="00CD7BEE" w:rsidP="00830BA0">
      <w:pPr>
        <w:pStyle w:val="Akapitzlist"/>
        <w:numPr>
          <w:ilvl w:val="0"/>
          <w:numId w:val="6"/>
        </w:numPr>
        <w:ind w:left="567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zgodne z </w:t>
      </w:r>
      <w:r w:rsidR="00BC2AA6" w:rsidRPr="00830BA0">
        <w:rPr>
          <w:rFonts w:ascii="Open Sans" w:hAnsi="Open Sans" w:cs="Open Sans"/>
          <w:sz w:val="22"/>
          <w:szCs w:val="22"/>
        </w:rPr>
        <w:t xml:space="preserve">prawem, z </w:t>
      </w:r>
      <w:r w:rsidRPr="00830BA0">
        <w:rPr>
          <w:rFonts w:ascii="Open Sans" w:hAnsi="Open Sans" w:cs="Open Sans"/>
          <w:sz w:val="22"/>
          <w:szCs w:val="22"/>
        </w:rPr>
        <w:t>SZOP oraz Regulaminem wyboru projektów</w:t>
      </w:r>
      <w:r w:rsidR="00BC2AA6" w:rsidRPr="00830BA0">
        <w:rPr>
          <w:rFonts w:ascii="Open Sans" w:hAnsi="Open Sans" w:cs="Open Sans"/>
          <w:sz w:val="22"/>
          <w:szCs w:val="22"/>
        </w:rPr>
        <w:t>,</w:t>
      </w:r>
    </w:p>
    <w:p w14:paraId="04DBB9E7" w14:textId="7AD61E49" w:rsidR="00E46C55" w:rsidRPr="00830BA0" w:rsidRDefault="00CD7BEE" w:rsidP="00830BA0">
      <w:pPr>
        <w:pStyle w:val="Akapitzlist"/>
        <w:numPr>
          <w:ilvl w:val="0"/>
          <w:numId w:val="6"/>
        </w:numPr>
        <w:ind w:left="567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niezbędne do realizacji celów projektu i zostały poniesione w związku z</w:t>
      </w:r>
      <w:r w:rsidR="00E46C55" w:rsidRPr="00830BA0">
        <w:rPr>
          <w:rFonts w:ascii="Open Sans" w:hAnsi="Open Sans" w:cs="Open Sans"/>
          <w:sz w:val="22"/>
          <w:szCs w:val="22"/>
        </w:rPr>
        <w:t xml:space="preserve"> </w:t>
      </w:r>
      <w:r w:rsidRPr="00830BA0">
        <w:rPr>
          <w:rFonts w:ascii="Open Sans" w:hAnsi="Open Sans" w:cs="Open Sans"/>
          <w:sz w:val="22"/>
          <w:szCs w:val="22"/>
        </w:rPr>
        <w:t>realizacją</w:t>
      </w:r>
      <w:r w:rsidR="00E46C55" w:rsidRPr="00830BA0">
        <w:rPr>
          <w:rFonts w:ascii="Open Sans" w:hAnsi="Open Sans" w:cs="Open Sans"/>
          <w:sz w:val="22"/>
          <w:szCs w:val="22"/>
        </w:rPr>
        <w:t xml:space="preserve"> </w:t>
      </w:r>
      <w:r w:rsidRPr="00830BA0">
        <w:rPr>
          <w:rFonts w:ascii="Open Sans" w:hAnsi="Open Sans" w:cs="Open Sans"/>
          <w:sz w:val="22"/>
          <w:szCs w:val="22"/>
        </w:rPr>
        <w:t>projektu,</w:t>
      </w:r>
    </w:p>
    <w:p w14:paraId="5189B04C" w14:textId="0D06C1F6" w:rsidR="00190827" w:rsidRPr="00830BA0" w:rsidRDefault="00CD7BEE" w:rsidP="00830BA0">
      <w:pPr>
        <w:pStyle w:val="Akapitzlist"/>
        <w:numPr>
          <w:ilvl w:val="0"/>
          <w:numId w:val="6"/>
        </w:numPr>
        <w:ind w:left="567"/>
        <w:rPr>
          <w:rFonts w:ascii="Open Sans" w:eastAsiaTheme="minorHAnsi" w:hAnsi="Open Sans" w:cs="Open Sans"/>
          <w:sz w:val="22"/>
          <w:szCs w:val="22"/>
          <w:lang w:eastAsia="en-US"/>
        </w:rPr>
      </w:pPr>
      <w:r w:rsidRPr="00830BA0">
        <w:rPr>
          <w:rFonts w:ascii="Open Sans" w:hAnsi="Open Sans" w:cs="Open Sans"/>
          <w:sz w:val="22"/>
          <w:szCs w:val="22"/>
        </w:rPr>
        <w:t>dokonane w sposób przejrzysty, racjonalny i efektywny, z zachowaniem</w:t>
      </w:r>
      <w:r w:rsidR="00E46C55" w:rsidRPr="00830BA0">
        <w:rPr>
          <w:rFonts w:ascii="Open Sans" w:hAnsi="Open Sans" w:cs="Open Sans"/>
          <w:sz w:val="22"/>
          <w:szCs w:val="22"/>
        </w:rPr>
        <w:t xml:space="preserve"> </w:t>
      </w:r>
      <w:r w:rsidRPr="00830BA0">
        <w:rPr>
          <w:rFonts w:ascii="Open Sans" w:hAnsi="Open Sans" w:cs="Open Sans"/>
          <w:sz w:val="22"/>
          <w:szCs w:val="22"/>
        </w:rPr>
        <w:t xml:space="preserve">zasad uzyskiwania najlepszych efektów z danych nakładów.  </w:t>
      </w:r>
    </w:p>
    <w:p w14:paraId="2A3D3445" w14:textId="7EA346A0" w:rsidR="00190827" w:rsidRPr="00830BA0" w:rsidRDefault="00190827" w:rsidP="00830BA0">
      <w:pPr>
        <w:pStyle w:val="Default"/>
        <w:numPr>
          <w:ilvl w:val="0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Podatek od towarów i usług (VAT) może stanowić koszt kwalifikowalny projektu. Zasady jego kwalifikowania opisano w </w:t>
      </w:r>
      <w:hyperlink r:id="rId9" w:history="1">
        <w:r w:rsidRPr="00830BA0">
          <w:rPr>
            <w:rStyle w:val="Hipercze"/>
            <w:rFonts w:ascii="Open Sans" w:hAnsi="Open Sans" w:cs="Open Sans"/>
            <w:sz w:val="22"/>
            <w:szCs w:val="22"/>
          </w:rPr>
          <w:t xml:space="preserve">Wytycznych dotyczących kwalifikowalności wydatków na lata 2021-2027, </w:t>
        </w:r>
      </w:hyperlink>
      <w:r w:rsidRPr="00830BA0">
        <w:rPr>
          <w:rFonts w:ascii="Open Sans" w:hAnsi="Open Sans" w:cs="Open Sans"/>
          <w:sz w:val="22"/>
          <w:szCs w:val="22"/>
        </w:rPr>
        <w:t>w Podrozdziale 3.5. Podatek od towarów i usług (VAT).</w:t>
      </w:r>
    </w:p>
    <w:p w14:paraId="090AFAAF" w14:textId="33A96E5D" w:rsidR="00190827" w:rsidRPr="00830BA0" w:rsidRDefault="00190827" w:rsidP="00830BA0">
      <w:pPr>
        <w:pStyle w:val="Default"/>
        <w:numPr>
          <w:ilvl w:val="0"/>
          <w:numId w:val="1"/>
        </w:numPr>
        <w:spacing w:line="276" w:lineRule="auto"/>
        <w:ind w:left="0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Kwalifikowalne będą następujące kategorie kosztów:</w:t>
      </w:r>
    </w:p>
    <w:p w14:paraId="053FC739" w14:textId="3270970F" w:rsidR="00190827" w:rsidRPr="00830BA0" w:rsidRDefault="00652B5A" w:rsidP="00830BA0">
      <w:pPr>
        <w:pStyle w:val="Default"/>
        <w:numPr>
          <w:ilvl w:val="0"/>
          <w:numId w:val="2"/>
        </w:numPr>
        <w:spacing w:line="276" w:lineRule="auto"/>
        <w:ind w:left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K</w:t>
      </w:r>
      <w:r w:rsidR="00190827" w:rsidRPr="00830BA0">
        <w:rPr>
          <w:rFonts w:ascii="Open Sans" w:hAnsi="Open Sans" w:cs="Open Sans"/>
          <w:sz w:val="22"/>
          <w:szCs w:val="22"/>
        </w:rPr>
        <w:t>oszty bezpośrednie</w:t>
      </w:r>
      <w:r w:rsidR="00C61E7C" w:rsidRPr="00830BA0">
        <w:rPr>
          <w:rStyle w:val="Odwoanieprzypisudolnego"/>
          <w:rFonts w:ascii="Open Sans" w:hAnsi="Open Sans" w:cs="Open Sans"/>
          <w:sz w:val="22"/>
          <w:szCs w:val="22"/>
        </w:rPr>
        <w:footnoteReference w:id="1"/>
      </w:r>
      <w:r w:rsidR="00190827" w:rsidRPr="00830BA0">
        <w:rPr>
          <w:rFonts w:ascii="Open Sans" w:hAnsi="Open Sans" w:cs="Open Sans"/>
          <w:sz w:val="22"/>
          <w:szCs w:val="22"/>
        </w:rPr>
        <w:t>:</w:t>
      </w:r>
      <w:r w:rsidR="00D02CDE" w:rsidRPr="00830BA0">
        <w:rPr>
          <w:rFonts w:ascii="Open Sans" w:hAnsi="Open Sans" w:cs="Open Sans"/>
          <w:sz w:val="22"/>
          <w:szCs w:val="22"/>
        </w:rPr>
        <w:t xml:space="preserve"> </w:t>
      </w:r>
    </w:p>
    <w:p w14:paraId="449C3D2A" w14:textId="42A75897" w:rsidR="00190827" w:rsidRPr="00830BA0" w:rsidRDefault="00190827" w:rsidP="00830BA0">
      <w:pPr>
        <w:pStyle w:val="Akapitzlist"/>
        <w:numPr>
          <w:ilvl w:val="0"/>
          <w:numId w:val="4"/>
        </w:numPr>
        <w:spacing w:line="276" w:lineRule="auto"/>
        <w:ind w:left="1134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wartości niematerialne i prawne: koszty nabyc</w:t>
      </w:r>
      <w:r w:rsidR="00C20B60" w:rsidRPr="00830BA0">
        <w:rPr>
          <w:rFonts w:ascii="Open Sans" w:hAnsi="Open Sans" w:cs="Open Sans"/>
          <w:sz w:val="22"/>
          <w:szCs w:val="22"/>
        </w:rPr>
        <w:t xml:space="preserve">ia i/lub odpłatnego korzystania </w:t>
      </w:r>
      <w:r w:rsidRPr="00830BA0">
        <w:rPr>
          <w:rFonts w:ascii="Open Sans" w:hAnsi="Open Sans" w:cs="Open Sans"/>
          <w:sz w:val="22"/>
          <w:szCs w:val="22"/>
        </w:rPr>
        <w:t>z wartości niematerialnych i prawnych, oprogramowanie i licencje (bez urządzeń do ich obsługi);</w:t>
      </w:r>
    </w:p>
    <w:p w14:paraId="38E3451B" w14:textId="77777777" w:rsidR="00190827" w:rsidRPr="00830BA0" w:rsidRDefault="00190827" w:rsidP="00830BA0">
      <w:pPr>
        <w:pStyle w:val="Akapitzlist"/>
        <w:numPr>
          <w:ilvl w:val="0"/>
          <w:numId w:val="4"/>
        </w:numPr>
        <w:spacing w:line="276" w:lineRule="auto"/>
        <w:ind w:left="1134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usługi zewnętrzne, w tym np.:</w:t>
      </w:r>
    </w:p>
    <w:p w14:paraId="01DEF647" w14:textId="77777777" w:rsidR="00190827" w:rsidRPr="00830BA0" w:rsidRDefault="00190827" w:rsidP="00830BA0">
      <w:pPr>
        <w:pStyle w:val="Akapitzlist"/>
        <w:numPr>
          <w:ilvl w:val="0"/>
          <w:numId w:val="5"/>
        </w:numPr>
        <w:spacing w:line="276" w:lineRule="auto"/>
        <w:ind w:left="1701" w:hanging="284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koszty związane z organizacją warsztatów, spotkań itp.; </w:t>
      </w:r>
    </w:p>
    <w:p w14:paraId="619AB09F" w14:textId="77777777" w:rsidR="00190827" w:rsidRPr="00830BA0" w:rsidRDefault="00190827" w:rsidP="00830BA0">
      <w:pPr>
        <w:pStyle w:val="Akapitzlist"/>
        <w:numPr>
          <w:ilvl w:val="0"/>
          <w:numId w:val="5"/>
        </w:numPr>
        <w:spacing w:line="276" w:lineRule="auto"/>
        <w:ind w:left="1701" w:hanging="284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usługi informatyczne np. hosting, migracja danych, kolokacja serwerów; </w:t>
      </w:r>
    </w:p>
    <w:p w14:paraId="0676B1C3" w14:textId="77777777" w:rsidR="00190827" w:rsidRPr="00830BA0" w:rsidRDefault="00190827" w:rsidP="00830BA0">
      <w:pPr>
        <w:pStyle w:val="Akapitzlist"/>
        <w:numPr>
          <w:ilvl w:val="0"/>
          <w:numId w:val="5"/>
        </w:numPr>
        <w:spacing w:line="276" w:lineRule="auto"/>
        <w:ind w:left="1701" w:hanging="284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usługi/działania w zakresie informacji, promocji, marketingu; </w:t>
      </w:r>
    </w:p>
    <w:p w14:paraId="76A6B9AC" w14:textId="4449E4CA" w:rsidR="00190827" w:rsidRPr="00830BA0" w:rsidRDefault="00190827" w:rsidP="00830BA0">
      <w:pPr>
        <w:pStyle w:val="Akapitzlist"/>
        <w:numPr>
          <w:ilvl w:val="0"/>
          <w:numId w:val="5"/>
        </w:numPr>
        <w:spacing w:line="276" w:lineRule="auto"/>
        <w:ind w:left="1701" w:hanging="284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usługi doradcze, koszty ekspertó</w:t>
      </w:r>
      <w:r w:rsidR="00C20B60" w:rsidRPr="00830BA0">
        <w:rPr>
          <w:rFonts w:ascii="Open Sans" w:hAnsi="Open Sans" w:cs="Open Sans"/>
          <w:sz w:val="22"/>
          <w:szCs w:val="22"/>
        </w:rPr>
        <w:t xml:space="preserve">w zewnętrznych, koszty związane </w:t>
      </w:r>
      <w:r w:rsidRPr="00830BA0">
        <w:rPr>
          <w:rFonts w:ascii="Open Sans" w:hAnsi="Open Sans" w:cs="Open Sans"/>
          <w:sz w:val="22"/>
          <w:szCs w:val="22"/>
        </w:rPr>
        <w:t xml:space="preserve">z realizacją badań i analiz; </w:t>
      </w:r>
    </w:p>
    <w:p w14:paraId="752DE295" w14:textId="37743816" w:rsidR="00190827" w:rsidRPr="00830BA0" w:rsidRDefault="00190827" w:rsidP="00830BA0">
      <w:pPr>
        <w:pStyle w:val="Akapitzlist"/>
        <w:numPr>
          <w:ilvl w:val="0"/>
          <w:numId w:val="5"/>
        </w:numPr>
        <w:spacing w:line="276" w:lineRule="auto"/>
        <w:ind w:left="1701" w:hanging="284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catering i usługa hotelarska</w:t>
      </w:r>
      <w:r w:rsidR="00302915" w:rsidRPr="00830BA0">
        <w:rPr>
          <w:rFonts w:ascii="Open Sans" w:hAnsi="Open Sans" w:cs="Open Sans"/>
          <w:sz w:val="22"/>
          <w:szCs w:val="22"/>
        </w:rPr>
        <w:t>;</w:t>
      </w:r>
    </w:p>
    <w:p w14:paraId="7C5A6BEE" w14:textId="77777777" w:rsidR="00190827" w:rsidRPr="00830BA0" w:rsidRDefault="00190827" w:rsidP="00830BA0">
      <w:pPr>
        <w:pStyle w:val="Akapitzlist"/>
        <w:numPr>
          <w:ilvl w:val="0"/>
          <w:numId w:val="4"/>
        </w:numPr>
        <w:spacing w:line="276" w:lineRule="auto"/>
        <w:ind w:left="1134" w:hanging="425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środki trwałe/ dostawy; </w:t>
      </w:r>
    </w:p>
    <w:p w14:paraId="33EB88C4" w14:textId="77777777" w:rsidR="00190827" w:rsidRPr="00830BA0" w:rsidRDefault="00190827" w:rsidP="00830BA0">
      <w:pPr>
        <w:pStyle w:val="Akapitzlist"/>
        <w:numPr>
          <w:ilvl w:val="0"/>
          <w:numId w:val="4"/>
        </w:numPr>
        <w:spacing w:line="276" w:lineRule="auto"/>
        <w:ind w:left="1134" w:hanging="425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dostawy (inne niż środki trwałe); </w:t>
      </w:r>
    </w:p>
    <w:p w14:paraId="43C1477E" w14:textId="40125D37" w:rsidR="00F25708" w:rsidRPr="00830BA0" w:rsidRDefault="00F25708" w:rsidP="00830BA0">
      <w:pPr>
        <w:pStyle w:val="Akapitzlist"/>
        <w:numPr>
          <w:ilvl w:val="0"/>
          <w:numId w:val="4"/>
        </w:numPr>
        <w:spacing w:line="276" w:lineRule="auto"/>
        <w:ind w:left="1134" w:hanging="425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personel projektu</w:t>
      </w:r>
      <w:r w:rsidR="00885D1E" w:rsidRPr="00830BA0">
        <w:rPr>
          <w:rFonts w:ascii="Open Sans" w:hAnsi="Open Sans" w:cs="Open Sans"/>
          <w:sz w:val="22"/>
          <w:szCs w:val="22"/>
        </w:rPr>
        <w:t>.</w:t>
      </w:r>
    </w:p>
    <w:p w14:paraId="0E2901A5" w14:textId="760D95DB" w:rsidR="00190827" w:rsidRPr="00830BA0" w:rsidRDefault="00190827" w:rsidP="00830BA0">
      <w:pPr>
        <w:pStyle w:val="Akapitzlist"/>
        <w:numPr>
          <w:ilvl w:val="0"/>
          <w:numId w:val="2"/>
        </w:numPr>
        <w:spacing w:line="276" w:lineRule="auto"/>
        <w:ind w:left="567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bCs/>
          <w:sz w:val="22"/>
          <w:szCs w:val="22"/>
        </w:rPr>
        <w:t>Kosz</w:t>
      </w:r>
      <w:r w:rsidR="00652B5A" w:rsidRPr="00830BA0">
        <w:rPr>
          <w:rFonts w:ascii="Open Sans" w:hAnsi="Open Sans" w:cs="Open Sans"/>
          <w:bCs/>
          <w:sz w:val="22"/>
          <w:szCs w:val="22"/>
        </w:rPr>
        <w:t>ty pośrednie</w:t>
      </w:r>
      <w:r w:rsidR="00D95BAF" w:rsidRPr="00830BA0">
        <w:rPr>
          <w:rStyle w:val="Odwoanieprzypisudolnego"/>
          <w:rFonts w:ascii="Open Sans" w:hAnsi="Open Sans" w:cs="Open Sans"/>
          <w:bCs/>
          <w:sz w:val="22"/>
          <w:szCs w:val="22"/>
        </w:rPr>
        <w:footnoteReference w:id="2"/>
      </w:r>
      <w:r w:rsidR="00652B5A" w:rsidRPr="00830BA0">
        <w:rPr>
          <w:rFonts w:ascii="Open Sans" w:hAnsi="Open Sans" w:cs="Open Sans"/>
          <w:bCs/>
          <w:sz w:val="22"/>
          <w:szCs w:val="22"/>
        </w:rPr>
        <w:t xml:space="preserve">, o których mowa w </w:t>
      </w:r>
      <w:r w:rsidRPr="00830BA0">
        <w:rPr>
          <w:rFonts w:ascii="Open Sans" w:hAnsi="Open Sans" w:cs="Open Sans"/>
          <w:bCs/>
          <w:sz w:val="22"/>
          <w:szCs w:val="22"/>
        </w:rPr>
        <w:t xml:space="preserve">Podrozdziale 3.12. </w:t>
      </w:r>
      <w:hyperlink r:id="rId10" w:history="1">
        <w:r w:rsidRPr="00830BA0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Pr="00830BA0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nr </w:t>
      </w:r>
      <w:r w:rsidR="00613154" w:rsidRPr="00830BA0">
        <w:rPr>
          <w:rFonts w:ascii="Open Sans" w:hAnsi="Open Sans" w:cs="Open Sans"/>
          <w:bCs/>
          <w:sz w:val="22"/>
          <w:szCs w:val="22"/>
        </w:rPr>
        <w:t>6</w:t>
      </w:r>
      <w:r w:rsidRPr="00830BA0">
        <w:rPr>
          <w:rFonts w:ascii="Open Sans" w:hAnsi="Open Sans" w:cs="Open Sans"/>
          <w:bCs/>
          <w:sz w:val="22"/>
          <w:szCs w:val="22"/>
        </w:rPr>
        <w:t xml:space="preserve"> do Regulaminu naboru. </w:t>
      </w:r>
    </w:p>
    <w:p w14:paraId="5630D4AE" w14:textId="146975D0" w:rsidR="00190827" w:rsidRPr="00830BA0" w:rsidRDefault="00190827" w:rsidP="00830BA0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lastRenderedPageBreak/>
        <w:t>Niedopuszczalna jest sytuacja, w której koszty pośrednie zostaną rozliczone w ramach kosztów bezpośrednich.</w:t>
      </w:r>
      <w:r w:rsidR="00187EA3" w:rsidRPr="00830BA0">
        <w:rPr>
          <w:rFonts w:ascii="Open Sans" w:hAnsi="Open Sans" w:cs="Open Sans"/>
          <w:sz w:val="22"/>
          <w:szCs w:val="22"/>
        </w:rPr>
        <w:t xml:space="preserve"> </w:t>
      </w:r>
    </w:p>
    <w:p w14:paraId="20A09695" w14:textId="5B09F1DA" w:rsidR="00034AD3" w:rsidRPr="00830BA0" w:rsidRDefault="00F75355" w:rsidP="00830BA0">
      <w:pPr>
        <w:pStyle w:val="Default"/>
        <w:spacing w:line="276" w:lineRule="auto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W</w:t>
      </w:r>
      <w:r w:rsidR="00187EA3" w:rsidRPr="00830BA0">
        <w:rPr>
          <w:rFonts w:ascii="Open Sans" w:hAnsi="Open Sans" w:cs="Open Sans"/>
          <w:sz w:val="22"/>
          <w:szCs w:val="22"/>
        </w:rPr>
        <w:t xml:space="preserve"> </w:t>
      </w:r>
      <w:r w:rsidRPr="00830BA0">
        <w:rPr>
          <w:rFonts w:ascii="Open Sans" w:hAnsi="Open Sans" w:cs="Open Sans"/>
          <w:sz w:val="22"/>
          <w:szCs w:val="22"/>
        </w:rPr>
        <w:t>sytuacji, gdy wykonawca/personel projektu</w:t>
      </w:r>
      <w:r w:rsidR="00187EA3" w:rsidRPr="00830BA0">
        <w:rPr>
          <w:rFonts w:ascii="Open Sans" w:hAnsi="Open Sans" w:cs="Open Sans"/>
          <w:sz w:val="22"/>
          <w:szCs w:val="22"/>
        </w:rPr>
        <w:t xml:space="preserve"> świadczy pracę merytoryczną i administracyjną</w:t>
      </w:r>
      <w:r w:rsidRPr="00830BA0">
        <w:rPr>
          <w:rFonts w:ascii="Open Sans" w:hAnsi="Open Sans" w:cs="Open Sans"/>
          <w:sz w:val="22"/>
          <w:szCs w:val="22"/>
        </w:rPr>
        <w:t xml:space="preserve"> w projekcie, nie jest możliwe proporcjonalne rozliczanie (w kosztach bezpośrednich i pośrednich) kosztu </w:t>
      </w:r>
      <w:r w:rsidR="00A62F42" w:rsidRPr="00830BA0">
        <w:rPr>
          <w:rFonts w:ascii="Open Sans" w:hAnsi="Open Sans" w:cs="Open Sans"/>
          <w:sz w:val="22"/>
          <w:szCs w:val="22"/>
        </w:rPr>
        <w:t>ich zaangażowania</w:t>
      </w:r>
      <w:r w:rsidR="00187EA3" w:rsidRPr="00830BA0">
        <w:rPr>
          <w:rFonts w:ascii="Open Sans" w:hAnsi="Open Sans" w:cs="Open Sans"/>
          <w:sz w:val="22"/>
          <w:szCs w:val="22"/>
        </w:rPr>
        <w:t xml:space="preserve">. </w:t>
      </w:r>
      <w:r w:rsidR="00A62F42" w:rsidRPr="00830BA0">
        <w:rPr>
          <w:rFonts w:ascii="Open Sans" w:hAnsi="Open Sans" w:cs="Open Sans"/>
          <w:sz w:val="22"/>
          <w:szCs w:val="22"/>
        </w:rPr>
        <w:t xml:space="preserve">Gdy wykonawca/personel projektu świadczy pracę administracyjną w projekcie, koszt jego zaangażowania należy wliczyć </w:t>
      </w:r>
      <w:r w:rsidR="00A62F42" w:rsidRPr="00830BA0">
        <w:rPr>
          <w:rFonts w:ascii="Open Sans" w:hAnsi="Open Sans" w:cs="Open Sans"/>
          <w:b/>
          <w:sz w:val="22"/>
          <w:szCs w:val="22"/>
        </w:rPr>
        <w:t>wyłącznie do kosztów pośrednich</w:t>
      </w:r>
      <w:r w:rsidR="00A62F42" w:rsidRPr="00830BA0">
        <w:rPr>
          <w:rFonts w:ascii="Open Sans" w:hAnsi="Open Sans" w:cs="Open Sans"/>
          <w:sz w:val="22"/>
          <w:szCs w:val="22"/>
        </w:rPr>
        <w:t xml:space="preserve">. </w:t>
      </w:r>
      <w:r w:rsidR="00187EA3" w:rsidRPr="00830BA0">
        <w:rPr>
          <w:rFonts w:ascii="Open Sans" w:hAnsi="Open Sans" w:cs="Open Sans"/>
          <w:sz w:val="22"/>
          <w:szCs w:val="22"/>
        </w:rPr>
        <w:t>Zakaz ten ma na celu uniknięcie p</w:t>
      </w:r>
      <w:r w:rsidRPr="00830BA0">
        <w:rPr>
          <w:rFonts w:ascii="Open Sans" w:hAnsi="Open Sans" w:cs="Open Sans"/>
          <w:sz w:val="22"/>
          <w:szCs w:val="22"/>
        </w:rPr>
        <w:t>odwójnego finansowania wydatków</w:t>
      </w:r>
      <w:r w:rsidR="00187EA3" w:rsidRPr="00830BA0">
        <w:rPr>
          <w:rFonts w:ascii="Open Sans" w:hAnsi="Open Sans" w:cs="Open Sans"/>
          <w:sz w:val="22"/>
          <w:szCs w:val="22"/>
        </w:rPr>
        <w:t xml:space="preserve"> </w:t>
      </w:r>
      <w:r w:rsidRPr="00830BA0">
        <w:rPr>
          <w:rFonts w:ascii="Open Sans" w:hAnsi="Open Sans" w:cs="Open Sans"/>
          <w:sz w:val="22"/>
          <w:szCs w:val="22"/>
        </w:rPr>
        <w:t>w związku z ryczałtowym rozliczaniem kosztów pośrednich.</w:t>
      </w:r>
    </w:p>
    <w:p w14:paraId="7422C6D4" w14:textId="4BBDA29A" w:rsidR="00190827" w:rsidRPr="00830BA0" w:rsidRDefault="00190827" w:rsidP="00830BA0">
      <w:pPr>
        <w:pStyle w:val="Default"/>
        <w:spacing w:before="120" w:after="120" w:line="276" w:lineRule="auto"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W ramach projektów nie będą kwalifikowalne m.in.:</w:t>
      </w:r>
    </w:p>
    <w:p w14:paraId="30AE4F95" w14:textId="1B5C1B1B" w:rsidR="00190827" w:rsidRPr="00830BA0" w:rsidRDefault="00190827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koszty </w:t>
      </w:r>
      <w:r w:rsidRPr="00830BA0">
        <w:rPr>
          <w:rFonts w:ascii="Open Sans" w:hAnsi="Open Sans" w:cs="Open Sans"/>
          <w:bCs/>
          <w:sz w:val="22"/>
          <w:szCs w:val="22"/>
        </w:rPr>
        <w:t>dotyczące robót i materiałów budowlanych</w:t>
      </w:r>
      <w:r w:rsidR="00B62865" w:rsidRPr="00830BA0">
        <w:rPr>
          <w:rFonts w:ascii="Open Sans" w:hAnsi="Open Sans" w:cs="Open Sans"/>
          <w:bCs/>
          <w:sz w:val="22"/>
          <w:szCs w:val="22"/>
        </w:rPr>
        <w:t xml:space="preserve"> (</w:t>
      </w:r>
      <w:r w:rsidR="00F23752" w:rsidRPr="00830BA0">
        <w:rPr>
          <w:rFonts w:ascii="Open Sans" w:hAnsi="Open Sans" w:cs="Open Sans"/>
          <w:bCs/>
          <w:sz w:val="22"/>
          <w:szCs w:val="22"/>
        </w:rPr>
        <w:t xml:space="preserve">w tym </w:t>
      </w:r>
      <w:r w:rsidR="00B62865" w:rsidRPr="00830BA0">
        <w:rPr>
          <w:rFonts w:ascii="Open Sans" w:hAnsi="Open Sans" w:cs="Open Sans"/>
          <w:bCs/>
          <w:sz w:val="22"/>
          <w:szCs w:val="22"/>
        </w:rPr>
        <w:t>budowy/rozbudowy i/lub wyposażenia obiektów edukacyjnych, budowy/rozbudowy infrastruktury turystycznej, modernizacji parków, ogrodów, arboretów itp.)</w:t>
      </w:r>
      <w:r w:rsidRPr="00830BA0">
        <w:rPr>
          <w:rFonts w:ascii="Open Sans" w:hAnsi="Open Sans" w:cs="Open Sans"/>
          <w:bCs/>
          <w:sz w:val="22"/>
          <w:szCs w:val="22"/>
        </w:rPr>
        <w:t>;</w:t>
      </w:r>
    </w:p>
    <w:p w14:paraId="2A2FE0AB" w14:textId="77777777" w:rsidR="00190827" w:rsidRPr="00830BA0" w:rsidRDefault="00190827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bCs/>
          <w:sz w:val="22"/>
          <w:szCs w:val="22"/>
        </w:rPr>
        <w:t>opłaty finansowe;</w:t>
      </w:r>
    </w:p>
    <w:p w14:paraId="09CADC49" w14:textId="1C283681" w:rsidR="00190827" w:rsidRPr="00830BA0" w:rsidRDefault="00190827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bCs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w</w:t>
      </w:r>
      <w:r w:rsidR="00652B5A" w:rsidRPr="00830BA0">
        <w:rPr>
          <w:rFonts w:ascii="Open Sans" w:hAnsi="Open Sans" w:cs="Open Sans"/>
          <w:sz w:val="22"/>
          <w:szCs w:val="22"/>
        </w:rPr>
        <w:t>kład niepieniężny</w:t>
      </w:r>
      <w:r w:rsidR="00187EA3" w:rsidRPr="00830BA0">
        <w:rPr>
          <w:rFonts w:ascii="Open Sans" w:hAnsi="Open Sans" w:cs="Open Sans"/>
          <w:sz w:val="22"/>
          <w:szCs w:val="22"/>
        </w:rPr>
        <w:t xml:space="preserve"> </w:t>
      </w:r>
      <w:r w:rsidR="00316F57" w:rsidRPr="00830BA0">
        <w:rPr>
          <w:rFonts w:ascii="Open Sans" w:hAnsi="Open Sans" w:cs="Open Sans"/>
          <w:sz w:val="22"/>
          <w:szCs w:val="22"/>
        </w:rPr>
        <w:t>z wyłączeniem nieodpłatnej pracy wykonywanej przez wolontariuszy na podstawie ustawy o działalności pożytku publicznego i o wolontariacie</w:t>
      </w:r>
      <w:r w:rsidRPr="00830BA0">
        <w:rPr>
          <w:rFonts w:ascii="Open Sans" w:hAnsi="Open Sans" w:cs="Open Sans"/>
          <w:bCs/>
          <w:sz w:val="22"/>
          <w:szCs w:val="22"/>
        </w:rPr>
        <w:t>;</w:t>
      </w:r>
    </w:p>
    <w:p w14:paraId="4671A008" w14:textId="3788A98F" w:rsidR="00190827" w:rsidRPr="00830BA0" w:rsidRDefault="00190827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koszty </w:t>
      </w:r>
      <w:r w:rsidR="003B174F" w:rsidRPr="00830BA0">
        <w:rPr>
          <w:rFonts w:ascii="Open Sans" w:hAnsi="Open Sans" w:cs="Open Sans"/>
          <w:sz w:val="22"/>
          <w:szCs w:val="22"/>
        </w:rPr>
        <w:t xml:space="preserve">zakupu </w:t>
      </w:r>
      <w:r w:rsidRPr="00830BA0">
        <w:rPr>
          <w:rFonts w:ascii="Open Sans" w:hAnsi="Open Sans" w:cs="Open Sans"/>
          <w:sz w:val="22"/>
          <w:szCs w:val="22"/>
        </w:rPr>
        <w:t>nieruchomości</w:t>
      </w:r>
      <w:r w:rsidR="003B174F" w:rsidRPr="00830BA0">
        <w:rPr>
          <w:rFonts w:ascii="Open Sans" w:hAnsi="Open Sans" w:cs="Open Sans"/>
          <w:sz w:val="22"/>
          <w:szCs w:val="22"/>
        </w:rPr>
        <w:t xml:space="preserve"> oraz koszty związane z tym zakupem</w:t>
      </w:r>
      <w:r w:rsidRPr="00830BA0">
        <w:rPr>
          <w:rFonts w:ascii="Open Sans" w:hAnsi="Open Sans" w:cs="Open Sans"/>
          <w:sz w:val="22"/>
          <w:szCs w:val="22"/>
        </w:rPr>
        <w:t>;</w:t>
      </w:r>
    </w:p>
    <w:p w14:paraId="10151FA3" w14:textId="10DDA91F" w:rsidR="00190827" w:rsidRPr="00830BA0" w:rsidRDefault="00190827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koszty </w:t>
      </w:r>
      <w:r w:rsidR="003B174F" w:rsidRPr="00830BA0">
        <w:rPr>
          <w:rFonts w:ascii="Open Sans" w:hAnsi="Open Sans" w:cs="Open Sans"/>
          <w:sz w:val="22"/>
          <w:szCs w:val="22"/>
        </w:rPr>
        <w:t xml:space="preserve">nabycia </w:t>
      </w:r>
      <w:r w:rsidRPr="00830BA0">
        <w:rPr>
          <w:rFonts w:ascii="Open Sans" w:hAnsi="Open Sans" w:cs="Open Sans"/>
          <w:sz w:val="22"/>
          <w:szCs w:val="22"/>
        </w:rPr>
        <w:t>prawa użytkowania wieczystego i innych tytułów prawnych do nieruchomości</w:t>
      </w:r>
      <w:r w:rsidR="003B174F" w:rsidRPr="00830BA0">
        <w:rPr>
          <w:rFonts w:ascii="Open Sans" w:hAnsi="Open Sans" w:cs="Open Sans"/>
          <w:sz w:val="22"/>
          <w:szCs w:val="22"/>
        </w:rPr>
        <w:t xml:space="preserve"> oraz koszty związane z tym nabyciem</w:t>
      </w:r>
      <w:r w:rsidRPr="00830BA0">
        <w:rPr>
          <w:rFonts w:ascii="Open Sans" w:hAnsi="Open Sans" w:cs="Open Sans"/>
          <w:sz w:val="22"/>
          <w:szCs w:val="22"/>
        </w:rPr>
        <w:t>;</w:t>
      </w:r>
    </w:p>
    <w:p w14:paraId="156B63B2" w14:textId="77777777" w:rsidR="00190827" w:rsidRPr="00830BA0" w:rsidRDefault="00190827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koszty dotyczące nadzoru/ zarządzania inwestycją;</w:t>
      </w:r>
    </w:p>
    <w:p w14:paraId="0E951156" w14:textId="3AD78378" w:rsidR="001E09CB" w:rsidRPr="00830BA0" w:rsidRDefault="001E09CB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koszty nabycia środków transportu;</w:t>
      </w:r>
    </w:p>
    <w:p w14:paraId="4F28F549" w14:textId="44450F98" w:rsidR="00F23752" w:rsidRPr="00830BA0" w:rsidRDefault="00190827" w:rsidP="00830BA0">
      <w:pPr>
        <w:pStyle w:val="Default"/>
        <w:numPr>
          <w:ilvl w:val="0"/>
          <w:numId w:val="3"/>
        </w:numPr>
        <w:spacing w:line="276" w:lineRule="auto"/>
        <w:ind w:left="851" w:hanging="567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>amortyzacja i leasing środków trwałych.</w:t>
      </w:r>
    </w:p>
    <w:p w14:paraId="3539E3BF" w14:textId="77777777" w:rsidR="00D86098" w:rsidRPr="00830BA0" w:rsidRDefault="00D86098" w:rsidP="00830BA0">
      <w:pPr>
        <w:pStyle w:val="Default"/>
        <w:spacing w:line="276" w:lineRule="auto"/>
        <w:ind w:left="851"/>
        <w:contextualSpacing/>
        <w:rPr>
          <w:rFonts w:ascii="Open Sans" w:hAnsi="Open Sans" w:cs="Open Sans"/>
          <w:sz w:val="22"/>
          <w:szCs w:val="22"/>
        </w:rPr>
      </w:pPr>
    </w:p>
    <w:p w14:paraId="43FA6D2F" w14:textId="2FEDC55F" w:rsidR="00110E12" w:rsidRPr="00830BA0" w:rsidRDefault="00190827" w:rsidP="00830BA0">
      <w:pPr>
        <w:spacing w:line="276" w:lineRule="auto"/>
        <w:contextualSpacing/>
        <w:rPr>
          <w:rFonts w:ascii="Open Sans" w:hAnsi="Open Sans" w:cs="Open Sans"/>
          <w:sz w:val="22"/>
          <w:szCs w:val="22"/>
        </w:rPr>
      </w:pPr>
      <w:r w:rsidRPr="00830BA0">
        <w:rPr>
          <w:rFonts w:ascii="Open Sans" w:hAnsi="Open Sans" w:cs="Open Sans"/>
          <w:sz w:val="22"/>
          <w:szCs w:val="22"/>
        </w:rPr>
        <w:t xml:space="preserve">Dodatkowo, wydatkami niekwalifikowalnymi są wydatki wskazane w art. 64 rozporządzenia ogólnego, art. 7 ust. 1 i 5 rozporządzenia EFRR i FS, oraz </w:t>
      </w:r>
      <w:bookmarkStart w:id="0" w:name="_Hlk143602395"/>
      <w:r w:rsidRPr="00830BA0">
        <w:rPr>
          <w:rFonts w:ascii="Open Sans" w:hAnsi="Open Sans" w:cs="Open Sans"/>
          <w:sz w:val="22"/>
          <w:szCs w:val="22"/>
        </w:rPr>
        <w:t xml:space="preserve">podrozdziale 2.3. Wydatki niekwalifikowalne </w:t>
      </w:r>
      <w:hyperlink r:id="rId11" w:history="1">
        <w:r w:rsidRPr="00830BA0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bookmarkEnd w:id="0"/>
      <w:r w:rsidRPr="00830BA0">
        <w:rPr>
          <w:rFonts w:ascii="Open Sans" w:hAnsi="Open Sans" w:cs="Open Sans"/>
          <w:sz w:val="22"/>
          <w:szCs w:val="22"/>
        </w:rPr>
        <w:t>.</w:t>
      </w:r>
    </w:p>
    <w:sectPr w:rsidR="00110E12" w:rsidRPr="00830BA0" w:rsidSect="00515FB1">
      <w:footerReference w:type="even" r:id="rId12"/>
      <w:footerReference w:type="default" r:id="rId13"/>
      <w:headerReference w:type="first" r:id="rId14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4874F4" w14:textId="77777777" w:rsidR="00AB1D8C" w:rsidRDefault="00AB1D8C">
      <w:r>
        <w:separator/>
      </w:r>
    </w:p>
  </w:endnote>
  <w:endnote w:type="continuationSeparator" w:id="0">
    <w:p w14:paraId="1FF471C6" w14:textId="77777777" w:rsidR="00AB1D8C" w:rsidRDefault="00AB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6685C7" w14:textId="7021757B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63E4B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AB500" w14:textId="77777777" w:rsidR="00AB1D8C" w:rsidRDefault="00AB1D8C">
      <w:r>
        <w:separator/>
      </w:r>
    </w:p>
  </w:footnote>
  <w:footnote w:type="continuationSeparator" w:id="0">
    <w:p w14:paraId="303514AA" w14:textId="77777777" w:rsidR="00AB1D8C" w:rsidRDefault="00AB1D8C">
      <w:r>
        <w:continuationSeparator/>
      </w:r>
    </w:p>
  </w:footnote>
  <w:footnote w:id="1">
    <w:p w14:paraId="2D16B69F" w14:textId="0F8ED853" w:rsidR="00C61E7C" w:rsidRPr="00C63E4B" w:rsidRDefault="00C61E7C" w:rsidP="00830BA0">
      <w:pPr>
        <w:pStyle w:val="Tekstprzypisudolnego"/>
        <w:spacing w:line="276" w:lineRule="auto"/>
        <w:rPr>
          <w:rFonts w:ascii="Open Sans" w:hAnsi="Open Sans" w:cs="Open Sans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3E4B">
        <w:rPr>
          <w:rFonts w:ascii="Open Sans" w:hAnsi="Open Sans" w:cs="Open Sans"/>
          <w:sz w:val="16"/>
          <w:szCs w:val="16"/>
        </w:rPr>
        <w:t>Koszty bezpośrednie, to koszty zakupów, usług, wynagrodzeń w sposób bezpośredni przyczyniających się do realizacji wskaźników projektu (np. koszty</w:t>
      </w:r>
      <w:r w:rsidR="0011277B" w:rsidRPr="00C63E4B">
        <w:rPr>
          <w:rFonts w:ascii="Open Sans" w:hAnsi="Open Sans" w:cs="Open Sans"/>
          <w:sz w:val="16"/>
          <w:szCs w:val="16"/>
        </w:rPr>
        <w:t>:</w:t>
      </w:r>
      <w:r w:rsidRPr="00C63E4B">
        <w:rPr>
          <w:rFonts w:ascii="Open Sans" w:hAnsi="Open Sans" w:cs="Open Sans"/>
          <w:sz w:val="16"/>
          <w:szCs w:val="16"/>
        </w:rPr>
        <w:t xml:space="preserve"> wykładowców, wynajmu </w:t>
      </w:r>
      <w:proofErr w:type="spellStart"/>
      <w:r w:rsidRPr="00C63E4B">
        <w:rPr>
          <w:rFonts w:ascii="Open Sans" w:hAnsi="Open Sans" w:cs="Open Sans"/>
          <w:sz w:val="16"/>
          <w:szCs w:val="16"/>
        </w:rPr>
        <w:t>sal</w:t>
      </w:r>
      <w:proofErr w:type="spellEnd"/>
      <w:r w:rsidRPr="00C63E4B">
        <w:rPr>
          <w:rFonts w:ascii="Open Sans" w:hAnsi="Open Sans" w:cs="Open Sans"/>
          <w:sz w:val="16"/>
          <w:szCs w:val="16"/>
        </w:rPr>
        <w:t xml:space="preserve"> na szkolenia/konferencje, opracowania materiałów szkoleniowych/publikacji pokonferencyjnych/ materiałów na stronę www/ publikacji w mediach).</w:t>
      </w:r>
      <w:r w:rsidR="00FD5501" w:rsidRPr="00C63E4B">
        <w:rPr>
          <w:rFonts w:ascii="Open Sans" w:hAnsi="Open Sans" w:cs="Open Sans"/>
          <w:sz w:val="16"/>
          <w:szCs w:val="16"/>
        </w:rPr>
        <w:t xml:space="preserve"> </w:t>
      </w:r>
    </w:p>
  </w:footnote>
  <w:footnote w:id="2">
    <w:p w14:paraId="74829877" w14:textId="341FA183" w:rsidR="00D95BAF" w:rsidRDefault="00D95BAF" w:rsidP="00830BA0">
      <w:pPr>
        <w:pStyle w:val="Tekstprzypisudolnego"/>
        <w:spacing w:line="276" w:lineRule="auto"/>
      </w:pPr>
      <w:r>
        <w:rPr>
          <w:rStyle w:val="Odwoanieprzypisudolnego"/>
        </w:rPr>
        <w:footnoteRef/>
      </w:r>
      <w:r>
        <w:t xml:space="preserve"> </w:t>
      </w:r>
      <w:r w:rsidRPr="00C63E4B">
        <w:rPr>
          <w:rFonts w:ascii="Open Sans" w:hAnsi="Open Sans" w:cs="Open Sans"/>
          <w:sz w:val="16"/>
          <w:szCs w:val="16"/>
        </w:rPr>
        <w:t>Koszty dotyczące zakupów, usług, wynagrodzeń nie przyczyniających się bezpośrednio do realizacji wskaźników projektu (np. koszty: zakupu oprogramowania, wyposażenia i sprzętu biurowego, koordynatora/koordynatorów projektu), to koszty pośrednie.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E425D"/>
    <w:multiLevelType w:val="hybridMultilevel"/>
    <w:tmpl w:val="95E03F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352F83"/>
    <w:multiLevelType w:val="hybridMultilevel"/>
    <w:tmpl w:val="E7A89D30"/>
    <w:lvl w:ilvl="0" w:tplc="C7F24582">
      <w:start w:val="1"/>
      <w:numFmt w:val="upperRoman"/>
      <w:lvlText w:val="%1."/>
      <w:lvlJc w:val="righ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E4037E"/>
    <w:multiLevelType w:val="hybridMultilevel"/>
    <w:tmpl w:val="E680735A"/>
    <w:lvl w:ilvl="0" w:tplc="7D0A75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6C82062"/>
    <w:multiLevelType w:val="hybridMultilevel"/>
    <w:tmpl w:val="02829F5A"/>
    <w:lvl w:ilvl="0" w:tplc="0415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F16315A"/>
    <w:multiLevelType w:val="hybridMultilevel"/>
    <w:tmpl w:val="40F8F4BA"/>
    <w:lvl w:ilvl="0" w:tplc="44ACF126">
      <w:start w:val="1"/>
      <w:numFmt w:val="lowerLetter"/>
      <w:lvlText w:val="%1)"/>
      <w:lvlJc w:val="left"/>
      <w:pPr>
        <w:ind w:left="1776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F315020"/>
    <w:multiLevelType w:val="hybridMultilevel"/>
    <w:tmpl w:val="3FDE9FA0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1244333458">
    <w:abstractNumId w:val="1"/>
  </w:num>
  <w:num w:numId="2" w16cid:durableId="1245147649">
    <w:abstractNumId w:val="0"/>
  </w:num>
  <w:num w:numId="3" w16cid:durableId="730690824">
    <w:abstractNumId w:val="5"/>
  </w:num>
  <w:num w:numId="4" w16cid:durableId="375204579">
    <w:abstractNumId w:val="4"/>
  </w:num>
  <w:num w:numId="5" w16cid:durableId="1435323509">
    <w:abstractNumId w:val="3"/>
  </w:num>
  <w:num w:numId="6" w16cid:durableId="74051743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D36"/>
    <w:rsid w:val="00002DA9"/>
    <w:rsid w:val="0001149A"/>
    <w:rsid w:val="00017261"/>
    <w:rsid w:val="000216E0"/>
    <w:rsid w:val="00025496"/>
    <w:rsid w:val="00025672"/>
    <w:rsid w:val="000277D6"/>
    <w:rsid w:val="0003168B"/>
    <w:rsid w:val="0003222E"/>
    <w:rsid w:val="00034AD3"/>
    <w:rsid w:val="00037FB3"/>
    <w:rsid w:val="000405C8"/>
    <w:rsid w:val="00044D24"/>
    <w:rsid w:val="0005402A"/>
    <w:rsid w:val="00056687"/>
    <w:rsid w:val="000569EF"/>
    <w:rsid w:val="0006577B"/>
    <w:rsid w:val="000721D3"/>
    <w:rsid w:val="00077F61"/>
    <w:rsid w:val="00093736"/>
    <w:rsid w:val="000A5996"/>
    <w:rsid w:val="000A73E0"/>
    <w:rsid w:val="000B0C70"/>
    <w:rsid w:val="000C0B67"/>
    <w:rsid w:val="000C163C"/>
    <w:rsid w:val="000D0528"/>
    <w:rsid w:val="000D0DDE"/>
    <w:rsid w:val="000D7B56"/>
    <w:rsid w:val="000E118C"/>
    <w:rsid w:val="000E6EF7"/>
    <w:rsid w:val="000F2EDA"/>
    <w:rsid w:val="00100409"/>
    <w:rsid w:val="0010496B"/>
    <w:rsid w:val="0011035B"/>
    <w:rsid w:val="00110E12"/>
    <w:rsid w:val="00111BD6"/>
    <w:rsid w:val="00111F7A"/>
    <w:rsid w:val="0011277B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87EA3"/>
    <w:rsid w:val="00190827"/>
    <w:rsid w:val="001A164F"/>
    <w:rsid w:val="001D6EC4"/>
    <w:rsid w:val="001E09CB"/>
    <w:rsid w:val="001F1DCB"/>
    <w:rsid w:val="00204174"/>
    <w:rsid w:val="0021751B"/>
    <w:rsid w:val="00221C08"/>
    <w:rsid w:val="002229BB"/>
    <w:rsid w:val="0023137A"/>
    <w:rsid w:val="002469D2"/>
    <w:rsid w:val="00246E6F"/>
    <w:rsid w:val="00252CCB"/>
    <w:rsid w:val="002579DC"/>
    <w:rsid w:val="002621E1"/>
    <w:rsid w:val="00263CAE"/>
    <w:rsid w:val="0026656D"/>
    <w:rsid w:val="002735BD"/>
    <w:rsid w:val="00275FCB"/>
    <w:rsid w:val="002764E9"/>
    <w:rsid w:val="00286B23"/>
    <w:rsid w:val="002A6ED0"/>
    <w:rsid w:val="002B2B8F"/>
    <w:rsid w:val="002B3E88"/>
    <w:rsid w:val="002B5B4D"/>
    <w:rsid w:val="002C54BE"/>
    <w:rsid w:val="002E233A"/>
    <w:rsid w:val="002E7421"/>
    <w:rsid w:val="002F12B7"/>
    <w:rsid w:val="00302915"/>
    <w:rsid w:val="00303253"/>
    <w:rsid w:val="00310052"/>
    <w:rsid w:val="00316F57"/>
    <w:rsid w:val="003238A5"/>
    <w:rsid w:val="003248A9"/>
    <w:rsid w:val="003303F5"/>
    <w:rsid w:val="00330878"/>
    <w:rsid w:val="0034577C"/>
    <w:rsid w:val="003457D0"/>
    <w:rsid w:val="003561E8"/>
    <w:rsid w:val="00356DDA"/>
    <w:rsid w:val="00357F5D"/>
    <w:rsid w:val="00361588"/>
    <w:rsid w:val="00375BF8"/>
    <w:rsid w:val="003771FC"/>
    <w:rsid w:val="003A2536"/>
    <w:rsid w:val="003B05B3"/>
    <w:rsid w:val="003B068C"/>
    <w:rsid w:val="003B174F"/>
    <w:rsid w:val="003B5428"/>
    <w:rsid w:val="003B5F58"/>
    <w:rsid w:val="003C02BB"/>
    <w:rsid w:val="003C2181"/>
    <w:rsid w:val="003D0734"/>
    <w:rsid w:val="003D0CB1"/>
    <w:rsid w:val="003D4654"/>
    <w:rsid w:val="003D6F4D"/>
    <w:rsid w:val="003E70AC"/>
    <w:rsid w:val="003F0256"/>
    <w:rsid w:val="003F05B5"/>
    <w:rsid w:val="003F3F07"/>
    <w:rsid w:val="00404524"/>
    <w:rsid w:val="00420428"/>
    <w:rsid w:val="00420E66"/>
    <w:rsid w:val="004216CF"/>
    <w:rsid w:val="004415C9"/>
    <w:rsid w:val="00446211"/>
    <w:rsid w:val="004468EF"/>
    <w:rsid w:val="00447A90"/>
    <w:rsid w:val="00451E4C"/>
    <w:rsid w:val="00475128"/>
    <w:rsid w:val="004774B5"/>
    <w:rsid w:val="00477AAA"/>
    <w:rsid w:val="00480C20"/>
    <w:rsid w:val="00480C3B"/>
    <w:rsid w:val="00494512"/>
    <w:rsid w:val="004A3A57"/>
    <w:rsid w:val="004A7CBF"/>
    <w:rsid w:val="004B0E2A"/>
    <w:rsid w:val="004B1413"/>
    <w:rsid w:val="004C1069"/>
    <w:rsid w:val="004D0F57"/>
    <w:rsid w:val="004D30E9"/>
    <w:rsid w:val="004E7E66"/>
    <w:rsid w:val="004F0C1C"/>
    <w:rsid w:val="004F21F6"/>
    <w:rsid w:val="004F4386"/>
    <w:rsid w:val="004F68FF"/>
    <w:rsid w:val="00504E7D"/>
    <w:rsid w:val="00514C72"/>
    <w:rsid w:val="00514D52"/>
    <w:rsid w:val="00515FB1"/>
    <w:rsid w:val="0052160E"/>
    <w:rsid w:val="005216A7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3154"/>
    <w:rsid w:val="0061452C"/>
    <w:rsid w:val="00634B36"/>
    <w:rsid w:val="006360B5"/>
    <w:rsid w:val="006373C2"/>
    <w:rsid w:val="00640304"/>
    <w:rsid w:val="00646DC4"/>
    <w:rsid w:val="00647D8D"/>
    <w:rsid w:val="00652B5A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A4AE1"/>
    <w:rsid w:val="006B1A7D"/>
    <w:rsid w:val="006B6BCE"/>
    <w:rsid w:val="006D6210"/>
    <w:rsid w:val="006E0B98"/>
    <w:rsid w:val="006E51DC"/>
    <w:rsid w:val="006F525D"/>
    <w:rsid w:val="006F69A1"/>
    <w:rsid w:val="006F6A5C"/>
    <w:rsid w:val="00704536"/>
    <w:rsid w:val="0074157D"/>
    <w:rsid w:val="007642CF"/>
    <w:rsid w:val="00765E08"/>
    <w:rsid w:val="0077016A"/>
    <w:rsid w:val="007708B9"/>
    <w:rsid w:val="007738B4"/>
    <w:rsid w:val="00777666"/>
    <w:rsid w:val="007874E3"/>
    <w:rsid w:val="007969C6"/>
    <w:rsid w:val="007B1DC1"/>
    <w:rsid w:val="007B53F1"/>
    <w:rsid w:val="007C249D"/>
    <w:rsid w:val="007D410F"/>
    <w:rsid w:val="007D5BDB"/>
    <w:rsid w:val="007E255C"/>
    <w:rsid w:val="007E3D0E"/>
    <w:rsid w:val="007F786B"/>
    <w:rsid w:val="0080075D"/>
    <w:rsid w:val="00806ABC"/>
    <w:rsid w:val="00825A99"/>
    <w:rsid w:val="00830BA0"/>
    <w:rsid w:val="008322BF"/>
    <w:rsid w:val="0084705A"/>
    <w:rsid w:val="00847D8E"/>
    <w:rsid w:val="00852DA4"/>
    <w:rsid w:val="008543F1"/>
    <w:rsid w:val="00864ED2"/>
    <w:rsid w:val="00866F5A"/>
    <w:rsid w:val="00870C19"/>
    <w:rsid w:val="00872225"/>
    <w:rsid w:val="00873DB1"/>
    <w:rsid w:val="00885D1E"/>
    <w:rsid w:val="008A05E7"/>
    <w:rsid w:val="008A33D2"/>
    <w:rsid w:val="008A3CE2"/>
    <w:rsid w:val="008B1224"/>
    <w:rsid w:val="008B233B"/>
    <w:rsid w:val="008C14D9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0EA9"/>
    <w:rsid w:val="00932EC8"/>
    <w:rsid w:val="00940A0F"/>
    <w:rsid w:val="009431DA"/>
    <w:rsid w:val="00943FD1"/>
    <w:rsid w:val="00944960"/>
    <w:rsid w:val="00951542"/>
    <w:rsid w:val="009516E9"/>
    <w:rsid w:val="00952124"/>
    <w:rsid w:val="0095224E"/>
    <w:rsid w:val="00952737"/>
    <w:rsid w:val="009600B2"/>
    <w:rsid w:val="00961F0C"/>
    <w:rsid w:val="00965C69"/>
    <w:rsid w:val="009731AF"/>
    <w:rsid w:val="0099335C"/>
    <w:rsid w:val="009A74E6"/>
    <w:rsid w:val="009B3601"/>
    <w:rsid w:val="009C2C57"/>
    <w:rsid w:val="009C4745"/>
    <w:rsid w:val="009C63D2"/>
    <w:rsid w:val="009C6990"/>
    <w:rsid w:val="009E7456"/>
    <w:rsid w:val="009F46D8"/>
    <w:rsid w:val="009F5D02"/>
    <w:rsid w:val="00A00B21"/>
    <w:rsid w:val="00A01B40"/>
    <w:rsid w:val="00A020BB"/>
    <w:rsid w:val="00A03E87"/>
    <w:rsid w:val="00A10809"/>
    <w:rsid w:val="00A21494"/>
    <w:rsid w:val="00A23EEA"/>
    <w:rsid w:val="00A240D5"/>
    <w:rsid w:val="00A2740B"/>
    <w:rsid w:val="00A36F65"/>
    <w:rsid w:val="00A511CE"/>
    <w:rsid w:val="00A627EB"/>
    <w:rsid w:val="00A62F42"/>
    <w:rsid w:val="00A65664"/>
    <w:rsid w:val="00A66B1B"/>
    <w:rsid w:val="00A66F82"/>
    <w:rsid w:val="00A8205D"/>
    <w:rsid w:val="00A83879"/>
    <w:rsid w:val="00A923A3"/>
    <w:rsid w:val="00AA28F6"/>
    <w:rsid w:val="00AA6B60"/>
    <w:rsid w:val="00AB1D8C"/>
    <w:rsid w:val="00AB61A0"/>
    <w:rsid w:val="00AC221D"/>
    <w:rsid w:val="00AD008A"/>
    <w:rsid w:val="00AD2895"/>
    <w:rsid w:val="00AD5AEA"/>
    <w:rsid w:val="00AE1D70"/>
    <w:rsid w:val="00AE579D"/>
    <w:rsid w:val="00AE71C9"/>
    <w:rsid w:val="00AF16F9"/>
    <w:rsid w:val="00B0071C"/>
    <w:rsid w:val="00B02E6B"/>
    <w:rsid w:val="00B053E6"/>
    <w:rsid w:val="00B07B2B"/>
    <w:rsid w:val="00B1262C"/>
    <w:rsid w:val="00B22EFB"/>
    <w:rsid w:val="00B30F08"/>
    <w:rsid w:val="00B46C1C"/>
    <w:rsid w:val="00B50C43"/>
    <w:rsid w:val="00B54438"/>
    <w:rsid w:val="00B563E6"/>
    <w:rsid w:val="00B62865"/>
    <w:rsid w:val="00B76A50"/>
    <w:rsid w:val="00B866ED"/>
    <w:rsid w:val="00B92366"/>
    <w:rsid w:val="00B941B9"/>
    <w:rsid w:val="00BA4EBE"/>
    <w:rsid w:val="00BB3CE2"/>
    <w:rsid w:val="00BB6540"/>
    <w:rsid w:val="00BC2AA6"/>
    <w:rsid w:val="00BC6E76"/>
    <w:rsid w:val="00BD20DB"/>
    <w:rsid w:val="00BD2704"/>
    <w:rsid w:val="00BE4EBC"/>
    <w:rsid w:val="00BF05AE"/>
    <w:rsid w:val="00C003DC"/>
    <w:rsid w:val="00C10B4C"/>
    <w:rsid w:val="00C20B60"/>
    <w:rsid w:val="00C26B28"/>
    <w:rsid w:val="00C310EA"/>
    <w:rsid w:val="00C33F6C"/>
    <w:rsid w:val="00C36094"/>
    <w:rsid w:val="00C468E8"/>
    <w:rsid w:val="00C52747"/>
    <w:rsid w:val="00C60944"/>
    <w:rsid w:val="00C61E7C"/>
    <w:rsid w:val="00C63E4B"/>
    <w:rsid w:val="00C64399"/>
    <w:rsid w:val="00C67A1E"/>
    <w:rsid w:val="00C743D7"/>
    <w:rsid w:val="00C75A2C"/>
    <w:rsid w:val="00C93715"/>
    <w:rsid w:val="00CA534D"/>
    <w:rsid w:val="00CA7B55"/>
    <w:rsid w:val="00CB1EAC"/>
    <w:rsid w:val="00CB3989"/>
    <w:rsid w:val="00CB5969"/>
    <w:rsid w:val="00CC4651"/>
    <w:rsid w:val="00CD4024"/>
    <w:rsid w:val="00CD7BEE"/>
    <w:rsid w:val="00CE41F6"/>
    <w:rsid w:val="00CE517E"/>
    <w:rsid w:val="00D02CDE"/>
    <w:rsid w:val="00D0386E"/>
    <w:rsid w:val="00D04DB2"/>
    <w:rsid w:val="00D14309"/>
    <w:rsid w:val="00D2188C"/>
    <w:rsid w:val="00D37B3C"/>
    <w:rsid w:val="00D37EEB"/>
    <w:rsid w:val="00D5790F"/>
    <w:rsid w:val="00D608D3"/>
    <w:rsid w:val="00D74341"/>
    <w:rsid w:val="00D838C9"/>
    <w:rsid w:val="00D86098"/>
    <w:rsid w:val="00D87ABB"/>
    <w:rsid w:val="00D87BD9"/>
    <w:rsid w:val="00D908E9"/>
    <w:rsid w:val="00D93125"/>
    <w:rsid w:val="00D95BAF"/>
    <w:rsid w:val="00DA0BDF"/>
    <w:rsid w:val="00DA584C"/>
    <w:rsid w:val="00DA5FBE"/>
    <w:rsid w:val="00DA726B"/>
    <w:rsid w:val="00DB0A9F"/>
    <w:rsid w:val="00DC4318"/>
    <w:rsid w:val="00DC4811"/>
    <w:rsid w:val="00DC5189"/>
    <w:rsid w:val="00DE0D9A"/>
    <w:rsid w:val="00DE229B"/>
    <w:rsid w:val="00DE243E"/>
    <w:rsid w:val="00DF055F"/>
    <w:rsid w:val="00DF7793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6C55"/>
    <w:rsid w:val="00E47638"/>
    <w:rsid w:val="00E51D16"/>
    <w:rsid w:val="00E52F70"/>
    <w:rsid w:val="00E55FC7"/>
    <w:rsid w:val="00E62656"/>
    <w:rsid w:val="00E67326"/>
    <w:rsid w:val="00E67FE4"/>
    <w:rsid w:val="00EB183E"/>
    <w:rsid w:val="00ED2E66"/>
    <w:rsid w:val="00ED644E"/>
    <w:rsid w:val="00ED77B3"/>
    <w:rsid w:val="00ED7C19"/>
    <w:rsid w:val="00EF56AB"/>
    <w:rsid w:val="00F036B1"/>
    <w:rsid w:val="00F1544F"/>
    <w:rsid w:val="00F157B5"/>
    <w:rsid w:val="00F23752"/>
    <w:rsid w:val="00F25708"/>
    <w:rsid w:val="00F3022F"/>
    <w:rsid w:val="00F311CE"/>
    <w:rsid w:val="00F34AED"/>
    <w:rsid w:val="00F43C2C"/>
    <w:rsid w:val="00F4745C"/>
    <w:rsid w:val="00F56102"/>
    <w:rsid w:val="00F608A0"/>
    <w:rsid w:val="00F64EFE"/>
    <w:rsid w:val="00F704B1"/>
    <w:rsid w:val="00F7347F"/>
    <w:rsid w:val="00F75355"/>
    <w:rsid w:val="00F76854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D5501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6C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qFormat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customStyle="1" w:styleId="Nierozpoznanawzmianka1">
    <w:name w:val="Nierozpoznana wzmianka1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46C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unduszeeuropejskie.gov.pl/media/112343/Wytyczne_dotyczace_kwalifikowalnosci_2021_2027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294E3-3885-4E93-91E5-A0EAFEEFB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544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3804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wydatków kwalifikowanych</dc:title>
  <dc:subject/>
  <dc:creator>AJendrulek</dc:creator>
  <cp:keywords/>
  <dc:description/>
  <cp:lastModifiedBy>Wichniarek Anita</cp:lastModifiedBy>
  <cp:revision>13</cp:revision>
  <cp:lastPrinted>2013-01-29T13:37:00Z</cp:lastPrinted>
  <dcterms:created xsi:type="dcterms:W3CDTF">2025-06-13T11:15:00Z</dcterms:created>
  <dcterms:modified xsi:type="dcterms:W3CDTF">2025-07-29T10:14:00Z</dcterms:modified>
</cp:coreProperties>
</file>